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B6BBB" w14:textId="3B531B96" w:rsidR="00466613" w:rsidRDefault="00466613" w:rsidP="00503DC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</w:t>
      </w:r>
      <w:r w:rsidR="00005CDC">
        <w:rPr>
          <w:rFonts w:eastAsia="Times New Roman"/>
          <w:color w:val="000000"/>
        </w:rPr>
        <w:t xml:space="preserve">e following </w:t>
      </w:r>
      <w:r>
        <w:rPr>
          <w:rFonts w:eastAsia="Times New Roman"/>
          <w:color w:val="000000"/>
        </w:rPr>
        <w:t xml:space="preserve">chart </w:t>
      </w:r>
      <w:r w:rsidR="00005CDC">
        <w:rPr>
          <w:rFonts w:eastAsia="Times New Roman"/>
          <w:color w:val="000000"/>
        </w:rPr>
        <w:t xml:space="preserve">lists </w:t>
      </w:r>
      <w:r>
        <w:rPr>
          <w:rFonts w:eastAsia="Times New Roman"/>
          <w:color w:val="000000"/>
        </w:rPr>
        <w:t xml:space="preserve">previous </w:t>
      </w:r>
      <w:r w:rsidR="009D1E1E">
        <w:rPr>
          <w:rFonts w:eastAsia="Times New Roman"/>
          <w:color w:val="000000"/>
        </w:rPr>
        <w:t>‘</w:t>
      </w:r>
      <w:r>
        <w:rPr>
          <w:rFonts w:eastAsia="Times New Roman"/>
          <w:color w:val="000000"/>
        </w:rPr>
        <w:t>ACCUPLACER</w:t>
      </w:r>
      <w:r w:rsidR="00C73298">
        <w:rPr>
          <w:rFonts w:eastAsia="Times New Roman"/>
          <w:color w:val="000000"/>
        </w:rPr>
        <w:t xml:space="preserve"> Classic</w:t>
      </w:r>
      <w:r w:rsidR="009D1E1E">
        <w:rPr>
          <w:rFonts w:eastAsia="Times New Roman"/>
          <w:color w:val="000000"/>
        </w:rPr>
        <w:t>’</w:t>
      </w:r>
      <w:r>
        <w:rPr>
          <w:rFonts w:eastAsia="Times New Roman"/>
          <w:color w:val="000000"/>
        </w:rPr>
        <w:t xml:space="preserve"> course placement scores that have been used at North Carolina Community Colleges </w:t>
      </w:r>
      <w:r w:rsidR="00005CDC">
        <w:rPr>
          <w:rFonts w:eastAsia="Times New Roman"/>
          <w:color w:val="000000"/>
        </w:rPr>
        <w:t xml:space="preserve">and have been </w:t>
      </w:r>
      <w:r>
        <w:rPr>
          <w:rFonts w:eastAsia="Times New Roman"/>
          <w:color w:val="000000"/>
        </w:rPr>
        <w:t xml:space="preserve">cross walked to current </w:t>
      </w:r>
      <w:r w:rsidR="009D1E1E">
        <w:rPr>
          <w:rFonts w:eastAsia="Times New Roman"/>
          <w:color w:val="000000"/>
        </w:rPr>
        <w:t>‘</w:t>
      </w:r>
      <w:r>
        <w:rPr>
          <w:rFonts w:eastAsia="Times New Roman"/>
          <w:color w:val="000000"/>
        </w:rPr>
        <w:t>ACCUPLACER Next Generation</w:t>
      </w:r>
      <w:r w:rsidR="009D1E1E">
        <w:rPr>
          <w:rFonts w:eastAsia="Times New Roman"/>
          <w:color w:val="000000"/>
        </w:rPr>
        <w:t>’</w:t>
      </w:r>
      <w:r>
        <w:rPr>
          <w:rFonts w:eastAsia="Times New Roman"/>
          <w:color w:val="000000"/>
        </w:rPr>
        <w:t xml:space="preserve"> tests.</w:t>
      </w:r>
    </w:p>
    <w:p w14:paraId="6030D792" w14:textId="77777777" w:rsidR="00466613" w:rsidRDefault="00466613" w:rsidP="00466613">
      <w:pPr>
        <w:rPr>
          <w:rFonts w:eastAsia="Times New Roman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3255"/>
        <w:gridCol w:w="3405"/>
      </w:tblGrid>
      <w:tr w:rsidR="00466613" w14:paraId="3448FCB5" w14:textId="5FBE541D" w:rsidTr="009F3BBD">
        <w:trPr>
          <w:trHeight w:val="1098"/>
          <w:jc w:val="center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AF8CB" w14:textId="40914F06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</w:p>
          <w:p w14:paraId="21B76E25" w14:textId="2191800F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</w:p>
          <w:p w14:paraId="15095896" w14:textId="23BA7135" w:rsidR="00466613" w:rsidRDefault="00C73298" w:rsidP="00FF5B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Subject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19A24" w14:textId="77777777" w:rsidR="00137CB6" w:rsidRDefault="00137CB6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704D62D3" w14:textId="0E9417CC" w:rsidR="00466613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ACCUPLACER Classic</w:t>
            </w:r>
          </w:p>
          <w:p w14:paraId="71D792D8" w14:textId="5382B078" w:rsidR="00466613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NCCCS Cut</w:t>
            </w:r>
            <w:r w:rsidR="009F3BBD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Score</w:t>
            </w:r>
          </w:p>
          <w:p w14:paraId="659ACF15" w14:textId="77777777" w:rsidR="009F3BBD" w:rsidRDefault="009F3BBD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54445EF4" w14:textId="15B79DCF" w:rsidR="00466613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66613">
              <w:rPr>
                <w:rFonts w:eastAsia="Times New Roman"/>
                <w:b/>
                <w:bCs/>
                <w:color w:val="000000"/>
              </w:rPr>
              <w:t xml:space="preserve">Scale 20 </w:t>
            </w:r>
            <w:r w:rsidR="009F3BBD">
              <w:rPr>
                <w:rFonts w:eastAsia="Times New Roman"/>
                <w:b/>
                <w:bCs/>
                <w:color w:val="000000"/>
              </w:rPr>
              <w:t>–</w:t>
            </w:r>
            <w:r w:rsidRPr="00466613">
              <w:rPr>
                <w:rFonts w:eastAsia="Times New Roman"/>
                <w:b/>
                <w:bCs/>
                <w:color w:val="000000"/>
              </w:rPr>
              <w:t xml:space="preserve"> 120</w:t>
            </w:r>
          </w:p>
          <w:p w14:paraId="098C86E8" w14:textId="77777777" w:rsidR="00137CB6" w:rsidRDefault="00137CB6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43627C57" w14:textId="02F7FB7B" w:rsidR="009F3BBD" w:rsidRPr="00466613" w:rsidRDefault="009F3BBD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4CCE0D" w14:textId="77777777" w:rsidR="00137CB6" w:rsidRDefault="00137CB6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22C5BED4" w14:textId="55633749" w:rsidR="00466613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ACCUPLACER</w:t>
            </w:r>
          </w:p>
          <w:p w14:paraId="189B3128" w14:textId="77777777" w:rsidR="00466613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Next Generation Score</w:t>
            </w:r>
          </w:p>
          <w:p w14:paraId="60C92593" w14:textId="77777777" w:rsidR="00466613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23ADCEBA" w14:textId="47AD5CAD" w:rsidR="00466613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Scale 200 - 300</w:t>
            </w:r>
          </w:p>
        </w:tc>
      </w:tr>
      <w:tr w:rsidR="00466613" w14:paraId="13E83DE3" w14:textId="5DE08884" w:rsidTr="009F3BBD">
        <w:trPr>
          <w:trHeight w:val="1612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38331" w14:textId="66DDE5FA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</w:p>
          <w:p w14:paraId="5A9CEE07" w14:textId="69CC9B22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</w:p>
          <w:p w14:paraId="51646CDE" w14:textId="69685618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Writing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150D3" w14:textId="62BBC264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</w:p>
          <w:p w14:paraId="71766FC3" w14:textId="581D50D7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</w:p>
          <w:p w14:paraId="67AA861F" w14:textId="77B33220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Sentence Skills 86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85CF5B" w14:textId="77777777" w:rsidR="00466613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462E5767" w14:textId="77777777" w:rsidR="00466613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09E20CB8" w14:textId="330B30BA" w:rsidR="00466613" w:rsidRPr="00296BC7" w:rsidRDefault="00FF5B99" w:rsidP="00FF5B99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* </w:t>
            </w:r>
            <w:r w:rsidR="00466613" w:rsidRPr="00296BC7">
              <w:rPr>
                <w:rFonts w:eastAsia="Times New Roman"/>
                <w:i/>
                <w:iCs/>
                <w:color w:val="000000"/>
              </w:rPr>
              <w:t>Score not available</w:t>
            </w:r>
          </w:p>
        </w:tc>
      </w:tr>
      <w:tr w:rsidR="00466613" w14:paraId="7E70247C" w14:textId="400E9D60" w:rsidTr="00137CB6">
        <w:trPr>
          <w:trHeight w:val="1537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AF326" w14:textId="3096F6A7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</w:p>
          <w:p w14:paraId="066ECFCD" w14:textId="2A81366B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</w:p>
          <w:p w14:paraId="64269A87" w14:textId="3A1160DE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Reading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30995" w14:textId="47BDEEC1" w:rsidR="00466613" w:rsidRPr="00005CDC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793591E" w14:textId="5C7D2E3D" w:rsidR="00466613" w:rsidRPr="00005CDC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069E3551" w14:textId="4963C8FB" w:rsidR="00466613" w:rsidRPr="00005CDC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5CDC">
              <w:rPr>
                <w:rFonts w:eastAsia="Times New Roman"/>
                <w:b/>
                <w:bCs/>
                <w:color w:val="000000"/>
              </w:rPr>
              <w:t>Reading 80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40057D" w14:textId="77777777" w:rsidR="00466613" w:rsidRPr="00005CDC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14302A23" w14:textId="77777777" w:rsidR="00466613" w:rsidRPr="00005CDC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0BB83E00" w14:textId="66ED256A" w:rsidR="00466613" w:rsidRPr="00005CDC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5CDC">
              <w:rPr>
                <w:rFonts w:eastAsia="Times New Roman"/>
                <w:b/>
                <w:bCs/>
                <w:color w:val="000000"/>
              </w:rPr>
              <w:t>Reading</w:t>
            </w:r>
            <w:r w:rsidR="00005CDC" w:rsidRPr="00005CDC">
              <w:rPr>
                <w:rFonts w:eastAsia="Times New Roman"/>
                <w:b/>
                <w:bCs/>
                <w:color w:val="000000"/>
              </w:rPr>
              <w:t xml:space="preserve"> 253</w:t>
            </w:r>
          </w:p>
        </w:tc>
      </w:tr>
      <w:tr w:rsidR="00466613" w14:paraId="7A95B22E" w14:textId="362F3C79" w:rsidTr="00137CB6">
        <w:trPr>
          <w:trHeight w:val="1789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4B4DD" w14:textId="14221177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</w:p>
          <w:p w14:paraId="140B5A07" w14:textId="7A04B242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</w:p>
          <w:p w14:paraId="12898CEC" w14:textId="21377860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</w:p>
          <w:p w14:paraId="41EFED0F" w14:textId="6811D204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Math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6428D" w14:textId="0EB2C6D0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</w:p>
          <w:p w14:paraId="6A13D67D" w14:textId="7B81C77E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Arith</w:t>
            </w:r>
            <w:r w:rsidR="003F7F9A">
              <w:rPr>
                <w:rFonts w:eastAsia="Times New Roman"/>
                <w:color w:val="000000"/>
              </w:rPr>
              <w:t>metic</w:t>
            </w:r>
            <w:r>
              <w:rPr>
                <w:rFonts w:eastAsia="Times New Roman"/>
                <w:color w:val="000000"/>
              </w:rPr>
              <w:t xml:space="preserve"> 55</w:t>
            </w:r>
          </w:p>
          <w:p w14:paraId="16186D41" w14:textId="480FDBE5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</w:p>
          <w:p w14:paraId="4224030C" w14:textId="3CCF13E0" w:rsidR="00466613" w:rsidRPr="00005CDC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5CDC">
              <w:rPr>
                <w:rFonts w:eastAsia="Times New Roman"/>
                <w:b/>
                <w:bCs/>
                <w:color w:val="000000"/>
              </w:rPr>
              <w:t>Elem. Algebra 75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767740" w14:textId="77777777" w:rsidR="00466613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79A80877" w14:textId="078C3506" w:rsidR="00466613" w:rsidRPr="00296BC7" w:rsidRDefault="00FF5B99" w:rsidP="00FF5B99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* </w:t>
            </w:r>
            <w:r w:rsidR="00466613" w:rsidRPr="00296BC7">
              <w:rPr>
                <w:rFonts w:eastAsia="Times New Roman"/>
                <w:i/>
                <w:iCs/>
                <w:color w:val="000000"/>
              </w:rPr>
              <w:t>Score not available</w:t>
            </w:r>
          </w:p>
          <w:p w14:paraId="12CC784C" w14:textId="77777777" w:rsidR="00466613" w:rsidRDefault="00466613" w:rsidP="00FF5B99">
            <w:pPr>
              <w:jc w:val="center"/>
              <w:rPr>
                <w:rFonts w:eastAsia="Times New Roman"/>
                <w:color w:val="000000"/>
              </w:rPr>
            </w:pPr>
          </w:p>
          <w:p w14:paraId="4D2FC9D2" w14:textId="782F6048" w:rsidR="00466613" w:rsidRPr="00005CDC" w:rsidRDefault="00466613" w:rsidP="00FF5B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5CDC">
              <w:rPr>
                <w:rFonts w:eastAsia="Times New Roman"/>
                <w:b/>
                <w:bCs/>
                <w:color w:val="000000"/>
              </w:rPr>
              <w:t xml:space="preserve">QAS </w:t>
            </w:r>
            <w:r w:rsidR="00005CDC" w:rsidRPr="00005CDC">
              <w:rPr>
                <w:rFonts w:eastAsia="Times New Roman"/>
                <w:b/>
                <w:bCs/>
                <w:color w:val="000000"/>
              </w:rPr>
              <w:t>254</w:t>
            </w:r>
          </w:p>
        </w:tc>
      </w:tr>
    </w:tbl>
    <w:p w14:paraId="1DCF4548" w14:textId="77777777" w:rsidR="00296BC7" w:rsidRDefault="00296BC7" w:rsidP="00C73298">
      <w:pPr>
        <w:rPr>
          <w:rFonts w:eastAsia="Times New Roman"/>
          <w:color w:val="000000"/>
        </w:rPr>
      </w:pPr>
    </w:p>
    <w:p w14:paraId="551A0EC8" w14:textId="0F6BEA5B" w:rsidR="00C73298" w:rsidRPr="003677D4" w:rsidRDefault="00C73298" w:rsidP="00C73298">
      <w:pPr>
        <w:rPr>
          <w:rFonts w:eastAsia="Times New Roman"/>
          <w:i/>
          <w:iCs/>
          <w:color w:val="000000"/>
          <w:sz w:val="22"/>
          <w:szCs w:val="22"/>
        </w:rPr>
      </w:pPr>
      <w:r w:rsidRPr="003677D4">
        <w:rPr>
          <w:rFonts w:eastAsia="Times New Roman"/>
          <w:i/>
          <w:iCs/>
          <w:color w:val="000000"/>
          <w:sz w:val="22"/>
          <w:szCs w:val="22"/>
        </w:rPr>
        <w:t>*Note – ACCUPLACER did not have enough institution participation to create cross walk scores for Sentence Skills or Arithmetic</w:t>
      </w:r>
      <w:r w:rsidR="003677D4">
        <w:rPr>
          <w:rFonts w:eastAsia="Times New Roman"/>
          <w:i/>
          <w:iCs/>
          <w:color w:val="000000"/>
          <w:sz w:val="22"/>
          <w:szCs w:val="22"/>
        </w:rPr>
        <w:t xml:space="preserve"> for Accuplacer Next Gen</w:t>
      </w:r>
      <w:r w:rsidRPr="003677D4">
        <w:rPr>
          <w:rFonts w:eastAsia="Times New Roman"/>
          <w:i/>
          <w:iCs/>
          <w:color w:val="000000"/>
          <w:sz w:val="22"/>
          <w:szCs w:val="22"/>
        </w:rPr>
        <w:t>.</w:t>
      </w:r>
      <w:r w:rsidR="00155A5A" w:rsidRPr="003677D4"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r w:rsidR="00C00E10">
        <w:rPr>
          <w:rFonts w:eastAsia="Times New Roman"/>
          <w:i/>
          <w:iCs/>
          <w:color w:val="000000"/>
          <w:sz w:val="22"/>
          <w:szCs w:val="22"/>
        </w:rPr>
        <w:t xml:space="preserve">This will be updated </w:t>
      </w:r>
      <w:proofErr w:type="gramStart"/>
      <w:r w:rsidR="00C00E10">
        <w:rPr>
          <w:rFonts w:eastAsia="Times New Roman"/>
          <w:i/>
          <w:iCs/>
          <w:color w:val="000000"/>
          <w:sz w:val="22"/>
          <w:szCs w:val="22"/>
        </w:rPr>
        <w:t>if and when</w:t>
      </w:r>
      <w:proofErr w:type="gramEnd"/>
      <w:r w:rsidR="00C00E10">
        <w:rPr>
          <w:rFonts w:eastAsia="Times New Roman"/>
          <w:i/>
          <w:iCs/>
          <w:color w:val="000000"/>
          <w:sz w:val="22"/>
          <w:szCs w:val="22"/>
        </w:rPr>
        <w:t xml:space="preserve"> these scores are created and released/shared.</w:t>
      </w:r>
    </w:p>
    <w:p w14:paraId="2257A4DD" w14:textId="77777777" w:rsidR="00946254" w:rsidRDefault="00946254"/>
    <w:sectPr w:rsidR="0094625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E37DD" w14:textId="77777777" w:rsidR="009D1E1E" w:rsidRDefault="009D1E1E" w:rsidP="009D1E1E">
      <w:r>
        <w:separator/>
      </w:r>
    </w:p>
  </w:endnote>
  <w:endnote w:type="continuationSeparator" w:id="0">
    <w:p w14:paraId="77F511C9" w14:textId="77777777" w:rsidR="009D1E1E" w:rsidRDefault="009D1E1E" w:rsidP="009D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1EA4D" w14:textId="41C39AAC" w:rsidR="009D1E1E" w:rsidRDefault="009D1E1E" w:rsidP="009D1E1E">
    <w:pPr>
      <w:pStyle w:val="Footer"/>
      <w:jc w:val="right"/>
    </w:pPr>
    <w:r>
      <w:t xml:space="preserve">Updated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0BAFC" w14:textId="77777777" w:rsidR="009D1E1E" w:rsidRDefault="009D1E1E" w:rsidP="009D1E1E">
      <w:r>
        <w:separator/>
      </w:r>
    </w:p>
  </w:footnote>
  <w:footnote w:type="continuationSeparator" w:id="0">
    <w:p w14:paraId="5D3CB1F4" w14:textId="77777777" w:rsidR="009D1E1E" w:rsidRDefault="009D1E1E" w:rsidP="009D1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13"/>
    <w:rsid w:val="00005CDC"/>
    <w:rsid w:val="00137CB6"/>
    <w:rsid w:val="00155A5A"/>
    <w:rsid w:val="00296BC7"/>
    <w:rsid w:val="003677D4"/>
    <w:rsid w:val="003F7F9A"/>
    <w:rsid w:val="00466613"/>
    <w:rsid w:val="00503DC3"/>
    <w:rsid w:val="00544E61"/>
    <w:rsid w:val="0074171A"/>
    <w:rsid w:val="00790C24"/>
    <w:rsid w:val="00800469"/>
    <w:rsid w:val="00911ED0"/>
    <w:rsid w:val="00946254"/>
    <w:rsid w:val="009D1E1E"/>
    <w:rsid w:val="009F3BBD"/>
    <w:rsid w:val="00AD2DCA"/>
    <w:rsid w:val="00AF4637"/>
    <w:rsid w:val="00C00E10"/>
    <w:rsid w:val="00C73298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E553"/>
  <w15:chartTrackingRefBased/>
  <w15:docId w15:val="{8EE9EF99-D5D5-41F8-8283-9344823D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613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6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6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6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6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6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6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1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E1E"/>
    <w:rPr>
      <w:rFonts w:ascii="Aptos" w:hAnsi="Aptos" w:cs="Aptos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1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E1E"/>
    <w:rPr>
      <w:rFonts w:ascii="Aptos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Montognese, Kathie</dc:creator>
  <cp:keywords/>
  <dc:description/>
  <cp:lastModifiedBy>Ashley Parrott</cp:lastModifiedBy>
  <cp:revision>2</cp:revision>
  <dcterms:created xsi:type="dcterms:W3CDTF">2024-09-25T16:45:00Z</dcterms:created>
  <dcterms:modified xsi:type="dcterms:W3CDTF">2024-09-25T16:45:00Z</dcterms:modified>
</cp:coreProperties>
</file>